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A" w:rsidRPr="002D0BF6" w:rsidRDefault="0090770A" w:rsidP="0090770A">
      <w:pPr>
        <w:jc w:val="both"/>
        <w:rPr>
          <w:b/>
        </w:rPr>
      </w:pPr>
      <w:r w:rsidRPr="002D0BF6">
        <w:rPr>
          <w:b/>
        </w:rPr>
        <w:t xml:space="preserve">Poraj tonie w długach przez pożyczki i złe gospodarowanie nieruchomościami </w:t>
      </w:r>
    </w:p>
    <w:p w:rsidR="0090770A" w:rsidRPr="002D0BF6" w:rsidRDefault="0090770A" w:rsidP="0090770A">
      <w:pPr>
        <w:jc w:val="both"/>
        <w:rPr>
          <w:b/>
        </w:rPr>
      </w:pPr>
      <w:r w:rsidRPr="002D0BF6">
        <w:rPr>
          <w:b/>
        </w:rPr>
        <w:t>Liczne błędy oraz beztroska włodarzy w prowadzeniu gospodarki finansowej i  gospodarki nieruchomościami w gminie Poraj spowodowały, że jednostka ta wpadła w „pętlę zadłużenia”, przez co realizacja jej zadań publicznych była zagrożona. Ostatecznie Rada Gminy w 2017 r. uchwaliła Program postępowania naprawczego Gminy Poraj na lata 2018-2020. Nie zmienia to jednak faktu, że skutki finansowe wyemitowanych na pokrycie niedoborów finansowych obligacji komunalnych, Gmina i jej mieszkańcy będą ponosić przez wiele lat, gdyż rozchody i wydatki związane zarówno z wykupem obligacji, jak i wypłatą oprocentowania zaplanowano aż do 2033 roku. Termin złożenia zastrzeżeń do wyników tej kontroli upływa 11 października 2018 r. i w razie wykorzystania przez Gminę tego uprawnienia, zastrzeżenia zostaną niezwłocznie rozpatrzone przez niezależną komisję NIK.</w:t>
      </w:r>
    </w:p>
    <w:p w:rsidR="0090770A" w:rsidRPr="002D0BF6" w:rsidRDefault="0090770A" w:rsidP="0090770A">
      <w:pPr>
        <w:jc w:val="both"/>
        <w:rPr>
          <w:b/>
        </w:rPr>
      </w:pPr>
      <w:r w:rsidRPr="002D0BF6">
        <w:rPr>
          <w:b/>
        </w:rPr>
        <w:t>Zaciąganie zobowiązań przez Gminę Poraj</w:t>
      </w:r>
    </w:p>
    <w:p w:rsidR="0090770A" w:rsidRPr="002D0BF6" w:rsidRDefault="0090770A" w:rsidP="0090770A">
      <w:pPr>
        <w:jc w:val="both"/>
      </w:pPr>
      <w:r w:rsidRPr="002D0BF6">
        <w:t xml:space="preserve">Słabość zarządzania skutkowała pogarszającą się sytuacją finansową Gminy Poraj. </w:t>
      </w:r>
      <w:r w:rsidRPr="002D0BF6">
        <w:rPr>
          <w:b/>
        </w:rPr>
        <w:t>Władze Gminy starały się ukryć problemy finansowe</w:t>
      </w:r>
      <w:r>
        <w:rPr>
          <w:b/>
        </w:rPr>
        <w:t>,</w:t>
      </w:r>
      <w:r w:rsidRPr="002D0BF6">
        <w:rPr>
          <w:b/>
        </w:rPr>
        <w:t xml:space="preserve"> kwalifikując swoje pożyczki jako zobowiązania na pokrycie występującego w ciągu roku przejściowego deficytu budżetowego, w sytuacji</w:t>
      </w:r>
      <w:r>
        <w:rPr>
          <w:b/>
        </w:rPr>
        <w:t>,</w:t>
      </w:r>
      <w:r w:rsidRPr="002D0BF6">
        <w:rPr>
          <w:b/>
        </w:rPr>
        <w:t xml:space="preserve"> gdy pozyskane środki faktycznie przeznaczono na spłatę wcześniej zaciągniętych zobowiązań.</w:t>
      </w:r>
      <w:r w:rsidRPr="002D0BF6">
        <w:t xml:space="preserve"> Pozwoliło to na niestosowanie mechanizmów </w:t>
      </w:r>
      <w:proofErr w:type="spellStart"/>
      <w:r w:rsidRPr="002D0BF6">
        <w:t>ostrożnościowych</w:t>
      </w:r>
      <w:proofErr w:type="spellEnd"/>
      <w:r w:rsidRPr="002D0BF6">
        <w:t xml:space="preserve"> określonych w ustawie o finansach publicznych, które mają na celu przeciwdziałanie nadmiernemu zadłużeniu samorządu. Co więcej</w:t>
      </w:r>
      <w:r>
        <w:t>,</w:t>
      </w:r>
      <w:r w:rsidRPr="002D0BF6">
        <w:t xml:space="preserve"> </w:t>
      </w:r>
      <w:r w:rsidRPr="002D0BF6">
        <w:rPr>
          <w:b/>
        </w:rPr>
        <w:t>Wójt w 2014 r. zaciągnął zobowiązanie z przekroczeniem zakresu upoważnienia określonego uchwałą Rady Gminy o 2 mln zł, a w 2016 r. zaciągnął zobowiązanie w kwocie 2 mln zł bez upoważnienia Rady Gminy.</w:t>
      </w:r>
      <w:r w:rsidRPr="002D0BF6">
        <w:t xml:space="preserve"> Operacje te jednak nie poprawiły sytuacji finansowej Gminy.</w:t>
      </w:r>
    </w:p>
    <w:p w:rsidR="0090770A" w:rsidRPr="002F2F97" w:rsidRDefault="0090770A" w:rsidP="0090770A">
      <w:pPr>
        <w:jc w:val="both"/>
        <w:rPr>
          <w:sz w:val="26"/>
          <w:szCs w:val="26"/>
        </w:rPr>
      </w:pPr>
    </w:p>
    <w:p w:rsidR="0090770A" w:rsidRPr="002D0BF6" w:rsidRDefault="0090770A" w:rsidP="0090770A">
      <w:pPr>
        <w:jc w:val="both"/>
      </w:pPr>
      <w:r w:rsidRPr="002D0BF6">
        <w:t xml:space="preserve">Dodatkowo, w związku z trudną sytuacją finansową, Gmina była zmuszona do korzystania z innych źródeł finansowania. </w:t>
      </w:r>
      <w:r w:rsidRPr="002D0BF6">
        <w:rPr>
          <w:b/>
        </w:rPr>
        <w:t>Poza kredytami i pożyczkami bankowymi oraz emisją obligacji Gmina korzystała także z pożyczek zaciąganych w instytucjach finansowych działających poza systemem bankowym.</w:t>
      </w:r>
      <w:r w:rsidRPr="002D0BF6">
        <w:t xml:space="preserve"> </w:t>
      </w:r>
    </w:p>
    <w:p w:rsidR="0090770A" w:rsidRPr="002D0BF6" w:rsidRDefault="0090770A" w:rsidP="0090770A">
      <w:pPr>
        <w:jc w:val="both"/>
      </w:pPr>
      <w:r w:rsidRPr="002D0BF6">
        <w:rPr>
          <w:b/>
        </w:rPr>
        <w:t xml:space="preserve">W 2015 r. Wójt zaciągnął w takiej instytucji pożyczkę w kwocie 5 mln zł oraz w </w:t>
      </w:r>
      <w:r w:rsidRPr="002D0BF6">
        <w:rPr>
          <w:b/>
        </w:rPr>
        <w:br/>
        <w:t xml:space="preserve">2017 r. sześć pożyczek po 3 mln zł każda, bez upoważnienia Rady Gminy Poraj oraz bez uzyskania opinii Regionalnej Izby Obrachunkowej. </w:t>
      </w:r>
      <w:r w:rsidRPr="002D0BF6">
        <w:t xml:space="preserve">Ponadto zawierając powyższe umowy, Wójt zobowiązał się do spłaty zobowiązań z nich wynikających w kwocie przekraczającej limit rozchodów ustalony w obowiązujących w tym czasie budżetach Gminy. Dodatkowo zaciągnięcie w 2017 r. sześciu pożyczek po 3 mln zł każda skutkowało koniecznością sześciokrotnego poniesienia kosztów uruchomienia tych środków (zamiast jednej pożyczki krótkoterminowej), które łącznie wyniosły 71,5 tys. zł. </w:t>
      </w:r>
      <w:r w:rsidRPr="002D0BF6">
        <w:rPr>
          <w:b/>
        </w:rPr>
        <w:t>W latach 2013-2017 wydatki z tytułu obsługi zadłużenia wyniosły łącznie prawie 2,7 mln zł</w:t>
      </w:r>
      <w:r w:rsidRPr="002D0BF6">
        <w:t>, co statystycznego mieszkańca Gminy kosztowało prawie 250</w:t>
      </w:r>
      <w:bookmarkStart w:id="0" w:name="_GoBack"/>
      <w:bookmarkEnd w:id="0"/>
      <w:r w:rsidRPr="002D0BF6">
        <w:t xml:space="preserve"> zł.</w:t>
      </w:r>
    </w:p>
    <w:p w:rsidR="0090770A" w:rsidRPr="002D0BF6" w:rsidRDefault="0090770A" w:rsidP="0090770A">
      <w:pPr>
        <w:jc w:val="center"/>
      </w:pPr>
      <w:r w:rsidRPr="002D0BF6">
        <w:rPr>
          <w:b/>
        </w:rPr>
        <w:t xml:space="preserve">Wydatki Gminy Poraj z tytułu obsługi zadłużenia </w:t>
      </w:r>
      <w:r w:rsidRPr="002D0BF6">
        <w:rPr>
          <w:b/>
        </w:rPr>
        <w:br/>
        <w:t xml:space="preserve">w latach 2013-2017 </w:t>
      </w:r>
      <w:r w:rsidRPr="002D0BF6">
        <w:t>(w tys. zł)</w:t>
      </w:r>
      <w:r>
        <w:t>.</w:t>
      </w:r>
    </w:p>
    <w:p w:rsidR="0090770A" w:rsidRDefault="0090770A" w:rsidP="0090770A">
      <w:pPr>
        <w:jc w:val="center"/>
        <w:rPr>
          <w:rFonts w:ascii="Arial Narrow" w:hAnsi="Arial Narrow"/>
        </w:rPr>
      </w:pPr>
      <w:r>
        <w:rPr>
          <w:noProof/>
          <w:lang w:eastAsia="pl-PL"/>
        </w:rPr>
        <w:drawing>
          <wp:inline distT="0" distB="0" distL="0" distR="0">
            <wp:extent cx="4572000" cy="1744980"/>
            <wp:effectExtent l="0" t="0" r="0" b="7620"/>
            <wp:docPr id="1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0770A" w:rsidRPr="002F2F97" w:rsidRDefault="0090770A" w:rsidP="0090770A">
      <w:pPr>
        <w:jc w:val="both"/>
        <w:rPr>
          <w:sz w:val="20"/>
          <w:szCs w:val="20"/>
        </w:rPr>
      </w:pPr>
      <w:r w:rsidRPr="002F2F97">
        <w:rPr>
          <w:sz w:val="20"/>
          <w:szCs w:val="20"/>
        </w:rPr>
        <w:t>Źródło: Opracowanie własne NIK na podstawie wyników kontroli.</w:t>
      </w:r>
    </w:p>
    <w:p w:rsidR="0090770A" w:rsidRPr="002D0BF6" w:rsidRDefault="0090770A" w:rsidP="0090770A">
      <w:pPr>
        <w:jc w:val="both"/>
      </w:pPr>
      <w:r w:rsidRPr="002D0BF6">
        <w:rPr>
          <w:b/>
        </w:rPr>
        <w:t>Konsekwencją błędów w zarządzaniu majątkiem Gminy był powtarzający się na koniec niemal każdego miesiąca w latach 2013-2017 brak środków na rachunku bankowym Urzędu.</w:t>
      </w:r>
      <w:r w:rsidRPr="002D0BF6">
        <w:t xml:space="preserve"> W </w:t>
      </w:r>
      <w:r w:rsidRPr="002D0BF6">
        <w:lastRenderedPageBreak/>
        <w:t xml:space="preserve">efekcie doprowadziło to do sytuacji, że nie dochowano terminu spłaty zobowiązań zaciągniętych przez Gminę w 2017 r. i na koniec tego roku powstało zadłużenie przeterminowane w kwocie blisko 5 mln zł, czego konsekwencją była zapłata w 2018 r. karnych odsetek w wysokości ponad 130 tys. zł. Analogiczna sytuacja wystąpiła na koniec 2014 r., gdy Gmina nie spłaciła kredytu w rachunku bieżącym i powstało zadłużenie przeterminowane w wysokości prawie 5 mln zł, i z tego tytułu Gmina zapłaciła w 2015 r. blisko 143 tys. zł odsetek karnych. </w:t>
      </w:r>
    </w:p>
    <w:p w:rsidR="0090770A" w:rsidRPr="002D0BF6" w:rsidRDefault="0090770A" w:rsidP="0090770A">
      <w:pPr>
        <w:jc w:val="both"/>
      </w:pPr>
      <w:r w:rsidRPr="002D0BF6">
        <w:rPr>
          <w:b/>
        </w:rPr>
        <w:t>Według stanu na koniec 2017 r. zobowiązania Gminy z tytułu zaciągniętych kredytów i pożyczek wyniosły łącznie 25,7 mln zł, co oznacza</w:t>
      </w:r>
      <w:r>
        <w:rPr>
          <w:b/>
        </w:rPr>
        <w:t>,</w:t>
      </w:r>
      <w:r w:rsidRPr="002D0BF6">
        <w:rPr>
          <w:b/>
        </w:rPr>
        <w:t xml:space="preserve"> że w stosunku do końca 2012 r.</w:t>
      </w:r>
      <w:r w:rsidRPr="002D0BF6">
        <w:t xml:space="preserve"> </w:t>
      </w:r>
      <w:r w:rsidRPr="002D0BF6">
        <w:rPr>
          <w:b/>
        </w:rPr>
        <w:t>wzrosły</w:t>
      </w:r>
      <w:r w:rsidRPr="002D0BF6">
        <w:t xml:space="preserve"> </w:t>
      </w:r>
      <w:r w:rsidRPr="002D0BF6">
        <w:rPr>
          <w:b/>
        </w:rPr>
        <w:t xml:space="preserve">ponad dwukrotnie </w:t>
      </w:r>
      <w:r w:rsidRPr="002D0BF6">
        <w:t xml:space="preserve">(z kwoty 11,3 mln zł). Decyzje o zaciągnięciu kredytów i pożyczek nie zostały poprzedzone rzetelną analizą ich zastosowania oraz wpływu na sytuację finansową Gminy, której celem winno być wnikliwe oszacowanie ryzyk związanych z takimi operacjami dla zminimalizowania zagrożeń z nich wynikających. Według stanu na dzień 31 grudnia 2017 r. na statystycznego mieszkańca Gminy przypadało 2,4 tys. zł zadłużenia z tytułu kredytów i pożyczek. </w:t>
      </w:r>
    </w:p>
    <w:p w:rsidR="0090770A" w:rsidRPr="002D0BF6" w:rsidRDefault="0090770A" w:rsidP="0090770A">
      <w:pPr>
        <w:jc w:val="center"/>
      </w:pPr>
      <w:r w:rsidRPr="002D0BF6">
        <w:rPr>
          <w:b/>
        </w:rPr>
        <w:t xml:space="preserve">Zobowiązania z tytułu zaciągniętych kredytów i pożyczek </w:t>
      </w:r>
      <w:r w:rsidRPr="002D0BF6">
        <w:rPr>
          <w:b/>
        </w:rPr>
        <w:br/>
        <w:t xml:space="preserve">w latach 2013-2017 </w:t>
      </w:r>
      <w:r w:rsidRPr="002D0BF6">
        <w:t>(w tys. zł)</w:t>
      </w:r>
      <w:r>
        <w:t>.</w:t>
      </w:r>
    </w:p>
    <w:p w:rsidR="0090770A" w:rsidRPr="002A66B3" w:rsidRDefault="0090770A" w:rsidP="0090770A">
      <w:pPr>
        <w:jc w:val="center"/>
        <w:rPr>
          <w:rFonts w:ascii="Arial Narrow" w:hAnsi="Arial Narrow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4572000" cy="1897380"/>
            <wp:effectExtent l="0" t="0" r="0" b="7620"/>
            <wp:docPr id="14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770A" w:rsidRPr="002F2F97" w:rsidRDefault="0090770A" w:rsidP="0090770A">
      <w:pPr>
        <w:jc w:val="both"/>
        <w:rPr>
          <w:sz w:val="20"/>
          <w:szCs w:val="20"/>
        </w:rPr>
      </w:pPr>
      <w:r w:rsidRPr="002F2F97">
        <w:rPr>
          <w:sz w:val="20"/>
          <w:szCs w:val="20"/>
        </w:rPr>
        <w:t>Źródło: Opracowanie własne NIK na podstawie wyników kontroli.</w:t>
      </w:r>
    </w:p>
    <w:p w:rsidR="0090770A" w:rsidRPr="002D0BF6" w:rsidRDefault="0090770A" w:rsidP="0090770A">
      <w:pPr>
        <w:jc w:val="both"/>
        <w:rPr>
          <w:b/>
        </w:rPr>
      </w:pPr>
      <w:r w:rsidRPr="002D0BF6">
        <w:t xml:space="preserve">W latach 2013–2017 Gmina planowała dochody budżetowe, w szczególności wynikające ze sprzedaży majątku, w kwotach pozwalających na zrównoważenie budżetu. Problemem była jednak realizacja tego planu. Jedynie w 2015 r. dochody ze sprzedaży mienia przekroczyły kwoty planowane. Stało się tak dzięki sprzedaży za kwotę 3,4 mln zł dwóch nieruchomości gminnych Spółce, będącej w 100 proc.  własnością Gminy, która w celu sfinansowania tego zakupu zaciągnęła w instytucji działającej poza systemem bankowym pożyczkę w kwocie 3,5 mln zł. </w:t>
      </w:r>
      <w:r w:rsidRPr="002D0BF6">
        <w:rPr>
          <w:b/>
        </w:rPr>
        <w:t xml:space="preserve">NIK oceniła, że operacja ta stanowiła transfer długu Gminy do jednostki zależnej. </w:t>
      </w:r>
    </w:p>
    <w:p w:rsidR="0090770A" w:rsidRPr="002D0BF6" w:rsidRDefault="0090770A" w:rsidP="0090770A">
      <w:pPr>
        <w:jc w:val="center"/>
        <w:rPr>
          <w:b/>
        </w:rPr>
      </w:pPr>
      <w:r w:rsidRPr="002D0BF6">
        <w:rPr>
          <w:b/>
        </w:rPr>
        <w:t xml:space="preserve">Planowane oraz uzyskane dochody ze sprzedaży majątku gminnego </w:t>
      </w:r>
      <w:r w:rsidRPr="002D0BF6">
        <w:rPr>
          <w:b/>
        </w:rPr>
        <w:br/>
        <w:t>w latach 2013-2017 (w tys. zł)</w:t>
      </w:r>
      <w:r>
        <w:rPr>
          <w:b/>
        </w:rPr>
        <w:t>.</w:t>
      </w:r>
    </w:p>
    <w:p w:rsidR="0090770A" w:rsidRDefault="0090770A" w:rsidP="0090770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572000" cy="2598420"/>
            <wp:effectExtent l="0" t="0" r="0" b="0"/>
            <wp:docPr id="1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70A" w:rsidRPr="002F2F97" w:rsidRDefault="0090770A" w:rsidP="0090770A">
      <w:pPr>
        <w:jc w:val="both"/>
        <w:rPr>
          <w:sz w:val="20"/>
          <w:szCs w:val="20"/>
        </w:rPr>
      </w:pPr>
      <w:r w:rsidRPr="002F2F97">
        <w:rPr>
          <w:sz w:val="20"/>
          <w:szCs w:val="20"/>
        </w:rPr>
        <w:lastRenderedPageBreak/>
        <w:t>Źródło: Opracowanie własne NIK na podstawie wyników kontroli.</w:t>
      </w:r>
    </w:p>
    <w:p w:rsidR="0090770A" w:rsidRPr="002D0BF6" w:rsidRDefault="0090770A" w:rsidP="0090770A">
      <w:pPr>
        <w:jc w:val="both"/>
      </w:pPr>
      <w:r w:rsidRPr="002D0BF6">
        <w:t>Transakcja ta pozwoliła także na wykreowanie dodatniego wyniku budżetu Gminy w 2015 r. Po jej pominięciu, w budżecie – podobnie jak w pozostałych latach kontrolowanego okresu – występował deficyt w kwocie 2 mln 456 tys. zł</w:t>
      </w:r>
    </w:p>
    <w:p w:rsidR="0090770A" w:rsidRPr="002D0BF6" w:rsidRDefault="0090770A" w:rsidP="0090770A">
      <w:pPr>
        <w:jc w:val="center"/>
        <w:rPr>
          <w:b/>
        </w:rPr>
      </w:pPr>
      <w:r w:rsidRPr="002D0BF6">
        <w:rPr>
          <w:b/>
        </w:rPr>
        <w:t>Wynik wykonania budżetu w latach 2013-2017 (w tys. zł)</w:t>
      </w:r>
      <w:r>
        <w:rPr>
          <w:b/>
        </w:rPr>
        <w:t>.</w:t>
      </w:r>
    </w:p>
    <w:p w:rsidR="0090770A" w:rsidRPr="007D0AB1" w:rsidRDefault="0090770A" w:rsidP="0090770A">
      <w:pPr>
        <w:jc w:val="center"/>
        <w:rPr>
          <w:rFonts w:ascii="Arial Narrow" w:hAnsi="Arial Narrow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4572000" cy="2752725"/>
            <wp:effectExtent l="0" t="0" r="0" b="0"/>
            <wp:docPr id="1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770A" w:rsidRPr="002F2F97" w:rsidRDefault="0090770A" w:rsidP="0090770A">
      <w:pPr>
        <w:jc w:val="both"/>
        <w:rPr>
          <w:sz w:val="20"/>
          <w:szCs w:val="20"/>
        </w:rPr>
      </w:pPr>
      <w:r w:rsidRPr="002F2F97">
        <w:rPr>
          <w:sz w:val="20"/>
          <w:szCs w:val="20"/>
        </w:rPr>
        <w:t>Źródło: Opracowanie własne NIK na podstawie wyników kontroli.</w:t>
      </w:r>
    </w:p>
    <w:p w:rsidR="0090770A" w:rsidRPr="002D0BF6" w:rsidRDefault="0090770A" w:rsidP="0090770A">
      <w:pPr>
        <w:pStyle w:val="AN12normalny"/>
        <w:spacing w:after="0" w:line="276" w:lineRule="auto"/>
        <w:rPr>
          <w:rFonts w:asciiTheme="minorHAnsi" w:hAnsiTheme="minorHAnsi"/>
        </w:rPr>
      </w:pPr>
      <w:r w:rsidRPr="002D0BF6">
        <w:rPr>
          <w:rFonts w:asciiTheme="minorHAnsi" w:hAnsiTheme="minorHAnsi"/>
        </w:rPr>
        <w:t xml:space="preserve">Wpływ na rzetelność obrazu sytuacji finansowej Gminy miała również przyjęta kwalifikacja zobowiązania finansowego zaciągniętego 30 grudnia 2016 r. w instytucji finansowej działającej poza systemem bankowym w kwocie 4 mln zł (w celu spłaty kredytu w rachunku bieżącym) z terminem spłaty do 31 stycznia 2017 r. Zobowiązanie to, w sprawozdaniu </w:t>
      </w:r>
      <w:proofErr w:type="spellStart"/>
      <w:r w:rsidRPr="002D0BF6">
        <w:rPr>
          <w:rFonts w:asciiTheme="minorHAnsi" w:hAnsiTheme="minorHAnsi"/>
        </w:rPr>
        <w:t>Rb-Z</w:t>
      </w:r>
      <w:proofErr w:type="spellEnd"/>
      <w:r w:rsidRPr="002D0BF6">
        <w:rPr>
          <w:rFonts w:asciiTheme="minorHAnsi" w:hAnsiTheme="minorHAnsi"/>
        </w:rPr>
        <w:t xml:space="preserve"> o stanie zobowiązań wg tytułów dłużnych oraz poręczeń i gwarancji na koniec IV kwartału 2016 r., wykazano jako zobowiązanie krótkoterminowe wynikające z umów nienazwanych związanych z finansowaniem usług, dostaw, robót budowlanych, a w skorygowanym w 2017 r. sprawozdaniu </w:t>
      </w:r>
      <w:proofErr w:type="spellStart"/>
      <w:r w:rsidRPr="002D0BF6">
        <w:rPr>
          <w:rFonts w:asciiTheme="minorHAnsi" w:hAnsiTheme="minorHAnsi"/>
        </w:rPr>
        <w:t>Rb</w:t>
      </w:r>
      <w:r w:rsidRPr="002D0BF6">
        <w:rPr>
          <w:rFonts w:asciiTheme="minorHAnsi" w:hAnsiTheme="minorHAnsi"/>
        </w:rPr>
        <w:noBreakHyphen/>
        <w:t>Z</w:t>
      </w:r>
      <w:proofErr w:type="spellEnd"/>
      <w:r w:rsidRPr="002D0BF6">
        <w:rPr>
          <w:rFonts w:asciiTheme="minorHAnsi" w:hAnsiTheme="minorHAnsi"/>
        </w:rPr>
        <w:t xml:space="preserve"> wykazano je jako kredyty i pożyczki długoterminowe wobec pozostałych krajowych instytucji finansowych, w sytuacji</w:t>
      </w:r>
      <w:r>
        <w:rPr>
          <w:rFonts w:asciiTheme="minorHAnsi" w:hAnsiTheme="minorHAnsi"/>
        </w:rPr>
        <w:t>,</w:t>
      </w:r>
      <w:r w:rsidRPr="002D0BF6">
        <w:rPr>
          <w:rFonts w:asciiTheme="minorHAnsi" w:hAnsiTheme="minorHAnsi"/>
        </w:rPr>
        <w:t xml:space="preserve"> gdy faktycznie były to krótkoterminowe zobowiązania wynikające z zaciągniętych kredytów i pożyczek. Przychodów z ww. zobowiązania nie przedstawiono również jako kredytu i pożyczki w sprawozdaniu</w:t>
      </w:r>
      <w:r>
        <w:rPr>
          <w:rFonts w:asciiTheme="minorHAnsi" w:hAnsiTheme="minorHAnsi"/>
        </w:rPr>
        <w:t xml:space="preserve"> </w:t>
      </w:r>
      <w:proofErr w:type="spellStart"/>
      <w:r w:rsidRPr="002D0BF6">
        <w:rPr>
          <w:rFonts w:asciiTheme="minorHAnsi" w:hAnsiTheme="minorHAnsi"/>
        </w:rPr>
        <w:t>Rb-NDS</w:t>
      </w:r>
      <w:proofErr w:type="spellEnd"/>
      <w:r w:rsidRPr="002D0BF6">
        <w:rPr>
          <w:rFonts w:asciiTheme="minorHAnsi" w:hAnsiTheme="minorHAnsi"/>
        </w:rPr>
        <w:t xml:space="preserve"> na koniec 2016 r. Ta, nieodzwierciedlająca stanu faktycznego, kwalifikacja powyższego zobowiązania pozwoliła Gminie na nieprzekroczenie wskaźnika spłaty zobowiązań w 2017 r., ustalonego w wysokości 9,43 proc. Po uwzględnieniu jednak faktycznej kwoty rozchodów Gminy, przypadającej do spłaty w 2017 r., wskaźnik ten na dzień 2 stycznia 2017 r. wynosił 13,98 proc.  </w:t>
      </w:r>
    </w:p>
    <w:p w:rsidR="0090770A" w:rsidRPr="002F2F97" w:rsidRDefault="0090770A" w:rsidP="0090770A">
      <w:pPr>
        <w:pStyle w:val="AN12normalny"/>
        <w:spacing w:after="0" w:line="276" w:lineRule="auto"/>
        <w:rPr>
          <w:rFonts w:asciiTheme="minorHAnsi" w:hAnsiTheme="minorHAnsi"/>
          <w:sz w:val="26"/>
          <w:szCs w:val="26"/>
        </w:rPr>
      </w:pPr>
    </w:p>
    <w:p w:rsidR="0090770A" w:rsidRPr="002D0BF6" w:rsidRDefault="0090770A" w:rsidP="0090770A">
      <w:pPr>
        <w:pStyle w:val="Tekstprzypisudolnego"/>
        <w:spacing w:line="276" w:lineRule="auto"/>
        <w:jc w:val="both"/>
        <w:rPr>
          <w:sz w:val="24"/>
          <w:szCs w:val="24"/>
        </w:rPr>
      </w:pPr>
      <w:r w:rsidRPr="002D0BF6">
        <w:rPr>
          <w:sz w:val="24"/>
          <w:szCs w:val="24"/>
        </w:rPr>
        <w:t xml:space="preserve">W zarządzaniu finansami Gminy stwierdzono też inne nieprawidłowości. W czterech umowach o kredyt w rachunku bieżącym zawartych w latach 2014-2016 upoważniono bank do ściągania płatności z rachunku bieżącego Gminy. Z kolei w ewidencji księgowej Urzędu nie ujmowano odsetek od zaciągniętych zobowiązań według stanu na koniec każdego kwartału w latach 2013-2017. Dodatkowo w sprawozdaniu </w:t>
      </w:r>
      <w:proofErr w:type="spellStart"/>
      <w:r w:rsidRPr="002D0BF6">
        <w:rPr>
          <w:sz w:val="24"/>
          <w:szCs w:val="24"/>
        </w:rPr>
        <w:t>Rb-NDS</w:t>
      </w:r>
      <w:proofErr w:type="spellEnd"/>
      <w:r w:rsidRPr="002D0BF6">
        <w:rPr>
          <w:sz w:val="24"/>
          <w:szCs w:val="24"/>
        </w:rPr>
        <w:t xml:space="preserve"> (sprawozdanie o nadwyżce/deficycie jednostki samorządu terytorialnego) za okres od początku roku do 31 grudnia 2015 r. nie wykazano przychodów oraz </w:t>
      </w:r>
      <w:r w:rsidRPr="002D0BF6">
        <w:rPr>
          <w:sz w:val="24"/>
          <w:szCs w:val="24"/>
        </w:rPr>
        <w:lastRenderedPageBreak/>
        <w:t xml:space="preserve">rozchodów z tytułu umowy pożyczki zawartej w 2015 r. z instytucją finansową działającą poza systemem bankowym. </w:t>
      </w:r>
    </w:p>
    <w:p w:rsidR="0090770A" w:rsidRPr="002F2F97" w:rsidRDefault="0090770A" w:rsidP="0090770A">
      <w:pPr>
        <w:pStyle w:val="Tekstprzypisudolnego"/>
        <w:spacing w:line="276" w:lineRule="auto"/>
        <w:jc w:val="both"/>
        <w:rPr>
          <w:sz w:val="26"/>
          <w:szCs w:val="26"/>
        </w:rPr>
      </w:pPr>
    </w:p>
    <w:p w:rsidR="0090770A" w:rsidRPr="002D0BF6" w:rsidRDefault="0090770A" w:rsidP="0090770A">
      <w:pPr>
        <w:pStyle w:val="AN12normalny"/>
        <w:spacing w:after="0" w:line="276" w:lineRule="auto"/>
        <w:rPr>
          <w:rFonts w:asciiTheme="minorHAnsi" w:hAnsiTheme="minorHAnsi"/>
        </w:rPr>
      </w:pPr>
      <w:r w:rsidRPr="002D0BF6">
        <w:rPr>
          <w:rFonts w:asciiTheme="minorHAnsi" w:hAnsiTheme="minorHAnsi"/>
          <w:b/>
        </w:rPr>
        <w:t>Rada Gminy w grudniu 2017 r., na wezwanie RIO, przyjęła Program postępowania naprawczego Gminy Poraj na lata 2018-2020</w:t>
      </w:r>
      <w:r w:rsidRPr="002D0BF6">
        <w:rPr>
          <w:rFonts w:asciiTheme="minorHAnsi" w:hAnsiTheme="minorHAnsi"/>
          <w:i/>
        </w:rPr>
        <w:t xml:space="preserve"> </w:t>
      </w:r>
      <w:r w:rsidRPr="002D0BF6">
        <w:rPr>
          <w:rFonts w:asciiTheme="minorHAnsi" w:hAnsiTheme="minorHAnsi"/>
        </w:rPr>
        <w:t>mający na celu usunięcie zagrożenia realizacji zadań publicznych przez Gminę oraz zachowania określonych w ustawie o finansach publicznych relacji dotyczących spłaty zobowiązań.</w:t>
      </w:r>
    </w:p>
    <w:p w:rsidR="0090770A" w:rsidRPr="002D0BF6" w:rsidRDefault="0090770A" w:rsidP="0090770A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2D0BF6">
        <w:rPr>
          <w:b/>
          <w:sz w:val="24"/>
          <w:szCs w:val="24"/>
        </w:rPr>
        <w:t>Gospodarowanie przez Gminę Poraj gminnym zasobem nieruchomości</w:t>
      </w:r>
    </w:p>
    <w:p w:rsidR="0090770A" w:rsidRPr="002D0BF6" w:rsidRDefault="0090770A" w:rsidP="0090770A">
      <w:pPr>
        <w:jc w:val="both"/>
      </w:pPr>
      <w:r w:rsidRPr="002D0BF6">
        <w:t xml:space="preserve">Zapewnienie prawidłowego gospodarowania gminnym zasobem nieruchomości ma wpływ na sytuację finansową Gminy, gdyż umożliwia racjonalne planowanie dochodów ze sprzedaży gminnego majątku. Tymczasem </w:t>
      </w:r>
      <w:r w:rsidRPr="002D0BF6">
        <w:rPr>
          <w:b/>
        </w:rPr>
        <w:t>w Gminie Poraj nie przestrzegano przepisów ustawy o gospodarce nieruchomościami. Wójt nie prowadził gminnej ewidencji nieruchomości, jak również nie sporządził planów wykorzystania zasobu tych nieruchomości.</w:t>
      </w:r>
      <w:r w:rsidRPr="002D0BF6">
        <w:t xml:space="preserve"> Słabość w gospodarowaniu gminnym zasobem nieruchomości Gminy skutkowała nieprawidłowościami zarówno w transakcjach sprzedaży, jak i zamiany nieruchomości gminnych. W 2013 r. Wójt dopuścił do zamiany nieruchomości gminnej z nieruchomością będącą własnością osoby fizycznej bez wyceny przejmowanej nieruchomości przez podmiot uprawniony (rzeczoznawcę majątkowego). Z kolei w 2014 r. w Urzędzie wykorzystano do przyjęcia wartości zbywanej nieruchomości operat szacunkowy sporządzony do celów innych niż jej sprzedaż, co naruszało przepisy rozporządzenia Rady Ministrów w sprawie wyceny nieruchomości i sporządzania operatu szacunkowego. </w:t>
      </w:r>
    </w:p>
    <w:p w:rsidR="0090770A" w:rsidRPr="002D0BF6" w:rsidRDefault="0090770A" w:rsidP="0090770A">
      <w:pPr>
        <w:jc w:val="both"/>
        <w:rPr>
          <w:b/>
        </w:rPr>
      </w:pPr>
      <w:r w:rsidRPr="002D0BF6">
        <w:t xml:space="preserve">W gospodarowaniu gminnym zasobem nieruchomości występowały także inne nieprawidłowości. I tak w latach 2013-2014 Wójt nie sporządził i nie podał do publicznej wiadomości wymaganego wykazu nieruchomości przeznaczonych do dzierżawy, a w 2013 r., 2014 r. i 2016 r. opublikował ogłoszenia o czterech przetargach na zbycie nieruchomości (spośród pięciu objętych kontrolą NIK) przed upływem ustawowego terminu. </w:t>
      </w:r>
      <w:r w:rsidRPr="002D0BF6">
        <w:rPr>
          <w:b/>
        </w:rPr>
        <w:t xml:space="preserve">NIK podkreśla, że ujawniona w Gminie dowolność postępowania w gospodarowaniu gminnym zasobem nieruchomości, stanowi jeden ze zdefiniowanych przez Izbę mechanizmów korupcjogennych. </w:t>
      </w:r>
    </w:p>
    <w:p w:rsidR="001C5898" w:rsidRDefault="001C5898"/>
    <w:sectPr w:rsidR="001C5898" w:rsidSect="009077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770A"/>
    <w:rsid w:val="001C5898"/>
    <w:rsid w:val="003C378D"/>
    <w:rsid w:val="006E5FB7"/>
    <w:rsid w:val="006F65AE"/>
    <w:rsid w:val="0071655C"/>
    <w:rsid w:val="0078468B"/>
    <w:rsid w:val="0090770A"/>
    <w:rsid w:val="00F1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ootnote Text OCR,Footnote Text Char3,Footnote Text Char Char,Footnote Text Char2 Char Char,Footnote Text Char1 Char1 Char Char,Footnote Text Char Char Char Char Char,Podrozdzia³,Zna"/>
    <w:basedOn w:val="Normalny"/>
    <w:link w:val="TekstprzypisudolnegoZnak"/>
    <w:uiPriority w:val="99"/>
    <w:unhideWhenUsed/>
    <w:qFormat/>
    <w:rsid w:val="0090770A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ootnote Text OCR Znak,Footnote Text Char3 Znak,Footnote Text Char Char Znak,Footnote Text Char2 Char Char Znak,Footnote Text Char1 Char1 Char Char Znak"/>
    <w:basedOn w:val="Domylnaczcionkaakapitu"/>
    <w:link w:val="Tekstprzypisudolnego"/>
    <w:uiPriority w:val="99"/>
    <w:rsid w:val="0090770A"/>
    <w:rPr>
      <w:rFonts w:asciiTheme="minorHAnsi" w:hAnsiTheme="minorHAnsi" w:cstheme="minorBidi"/>
      <w:sz w:val="20"/>
      <w:szCs w:val="20"/>
    </w:rPr>
  </w:style>
  <w:style w:type="paragraph" w:customStyle="1" w:styleId="AN12normalny">
    <w:name w:val="AN12_normalny"/>
    <w:basedOn w:val="Normalny"/>
    <w:link w:val="AN12normalnyZnak"/>
    <w:qFormat/>
    <w:rsid w:val="0090770A"/>
    <w:pPr>
      <w:spacing w:after="120"/>
      <w:jc w:val="both"/>
    </w:pPr>
    <w:rPr>
      <w:rFonts w:ascii="Arial Narrow" w:eastAsia="Times New Roman" w:hAnsi="Arial Narrow"/>
      <w:lang w:eastAsia="pl-PL"/>
    </w:rPr>
  </w:style>
  <w:style w:type="character" w:customStyle="1" w:styleId="AN12normalnyZnak">
    <w:name w:val="AN12_normalny Znak"/>
    <w:link w:val="AN12normalny"/>
    <w:locked/>
    <w:rsid w:val="0090770A"/>
    <w:rPr>
      <w:rFonts w:ascii="Arial Narrow" w:eastAsia="Times New Roman" w:hAnsi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D\Ania\!Poraj\Wykres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aneD\Ania\!Poraj\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ykres_wyn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lineChart>
        <c:grouping val="standard"/>
        <c:ser>
          <c:idx val="1"/>
          <c:order val="0"/>
          <c:marker>
            <c:symbol val="none"/>
          </c:marker>
          <c:dLbls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l-PL"/>
              </a:p>
            </c:txPr>
            <c:dLblPos val="t"/>
            <c:showVal val="1"/>
          </c:dLbls>
          <c:cat>
            <c:numRef>
              <c:f>Arkusz2!$A$1:$A$5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Arkusz2!$B$1:$B$5</c:f>
              <c:numCache>
                <c:formatCode>General</c:formatCode>
                <c:ptCount val="5"/>
                <c:pt idx="0">
                  <c:v>103.8</c:v>
                </c:pt>
                <c:pt idx="1">
                  <c:v>421.4</c:v>
                </c:pt>
                <c:pt idx="2">
                  <c:v>739.8</c:v>
                </c:pt>
                <c:pt idx="3">
                  <c:v>657.9</c:v>
                </c:pt>
                <c:pt idx="4">
                  <c:v>738.8</c:v>
                </c:pt>
              </c:numCache>
            </c:numRef>
          </c:val>
        </c:ser>
        <c:marker val="1"/>
        <c:axId val="148235776"/>
        <c:axId val="148237312"/>
      </c:lineChart>
      <c:catAx>
        <c:axId val="148235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pl-PL"/>
          </a:p>
        </c:txPr>
        <c:crossAx val="148237312"/>
        <c:crosses val="autoZero"/>
        <c:auto val="1"/>
        <c:lblAlgn val="ctr"/>
        <c:lblOffset val="100"/>
      </c:catAx>
      <c:valAx>
        <c:axId val="148237312"/>
        <c:scaling>
          <c:orientation val="minMax"/>
        </c:scaling>
        <c:delete val="1"/>
        <c:axPos val="l"/>
        <c:numFmt formatCode="General" sourceLinked="1"/>
        <c:tickLblPos val="none"/>
        <c:crossAx val="1482357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l-PL"/>
              </a:p>
            </c:txPr>
            <c:dLblPos val="outEnd"/>
            <c:showVal val="1"/>
          </c:dLbls>
          <c:trendline>
            <c:trendlineType val="linear"/>
          </c:trendline>
          <c:cat>
            <c:numRef>
              <c:f>Arkusz4!$A$1:$A$6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Arkusz4!$B$1:$B$6</c:f>
              <c:numCache>
                <c:formatCode>#,##0.0</c:formatCode>
                <c:ptCount val="6"/>
                <c:pt idx="0">
                  <c:v>11328.9</c:v>
                </c:pt>
                <c:pt idx="1">
                  <c:v>13615.6</c:v>
                </c:pt>
                <c:pt idx="2">
                  <c:v>21936.5</c:v>
                </c:pt>
                <c:pt idx="3">
                  <c:v>21227.1</c:v>
                </c:pt>
                <c:pt idx="4">
                  <c:v>24358.3</c:v>
                </c:pt>
                <c:pt idx="5">
                  <c:v>25686.3</c:v>
                </c:pt>
              </c:numCache>
            </c:numRef>
          </c:val>
        </c:ser>
        <c:axId val="250864000"/>
        <c:axId val="250865536"/>
      </c:barChart>
      <c:catAx>
        <c:axId val="250864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pl-PL"/>
          </a:p>
        </c:txPr>
        <c:crossAx val="250865536"/>
        <c:crosses val="autoZero"/>
        <c:auto val="1"/>
        <c:lblAlgn val="ctr"/>
        <c:lblOffset val="100"/>
      </c:catAx>
      <c:valAx>
        <c:axId val="250865536"/>
        <c:scaling>
          <c:orientation val="minMax"/>
        </c:scaling>
        <c:delete val="1"/>
        <c:axPos val="l"/>
        <c:numFmt formatCode="#,##0.0" sourceLinked="1"/>
        <c:tickLblPos val="none"/>
        <c:crossAx val="2508640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3"/>
  <c:chart>
    <c:plotArea>
      <c:layout/>
      <c:barChart>
        <c:barDir val="col"/>
        <c:grouping val="stacked"/>
        <c:ser>
          <c:idx val="2"/>
          <c:order val="0"/>
          <c:tx>
            <c:strRef>
              <c:f>Arkusz5!$E$2</c:f>
              <c:strCache>
                <c:ptCount val="1"/>
                <c:pt idx="0">
                  <c:v>Sprzedaż w 2015 r. dwóch nieruchomości do Spółki zależnej </c:v>
                </c:pt>
              </c:strCache>
            </c:strRef>
          </c:tx>
          <c:spPr>
            <a:pattFill prst="ltUpDiag">
              <a:fgClr>
                <a:schemeClr val="bg1"/>
              </a:fgClr>
              <a:bgClr>
                <a:schemeClr val="accent1"/>
              </a:bgClr>
            </a:pattFill>
          </c:spPr>
          <c:dLbls>
            <c:dLbl>
              <c:idx val="7"/>
              <c:layout>
                <c:manualLayout>
                  <c:x val="0"/>
                  <c:y val="-0.18518518518518537"/>
                </c:manualLayout>
              </c:layout>
              <c:tx>
                <c:rich>
                  <a:bodyPr/>
                  <a:lstStyle/>
                  <a:p>
                    <a:r>
                      <a:rPr lang="pl-PL" sz="900">
                        <a:latin typeface="Arial Narrow" pitchFamily="34" charset="0"/>
                      </a:rPr>
                      <a:t>4 091,0</a:t>
                    </a:r>
                    <a:endParaRPr lang="pl-PL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l-PL"/>
              </a:p>
            </c:txPr>
            <c:showVal val="1"/>
          </c:dLbls>
          <c:cat>
            <c:numRef>
              <c:f>Arkusz5!$B$3:$B$16</c:f>
              <c:numCache>
                <c:formatCode>General</c:formatCode>
                <c:ptCount val="14"/>
                <c:pt idx="0">
                  <c:v>2013</c:v>
                </c:pt>
                <c:pt idx="3">
                  <c:v>2014</c:v>
                </c:pt>
                <c:pt idx="6">
                  <c:v>2015</c:v>
                </c:pt>
                <c:pt idx="9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Arkusz5!$E$3:$E$16</c:f>
              <c:numCache>
                <c:formatCode>General</c:formatCode>
                <c:ptCount val="14"/>
                <c:pt idx="7">
                  <c:v>3421.1</c:v>
                </c:pt>
              </c:numCache>
            </c:numRef>
          </c:val>
        </c:ser>
        <c:ser>
          <c:idx val="1"/>
          <c:order val="1"/>
          <c:tx>
            <c:strRef>
              <c:f>Arkusz5!$D$2</c:f>
              <c:strCache>
                <c:ptCount val="1"/>
                <c:pt idx="0">
                  <c:v>Uzyskane dochody ze sprzedaży mienia (w tys. zł)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5.555555555555548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6296296296296363E-2"/>
                </c:manualLayout>
              </c:layout>
              <c:showVal val="1"/>
            </c:dLbl>
            <c:dLbl>
              <c:idx val="7"/>
              <c:delete val="1"/>
            </c:dLbl>
            <c:dLbl>
              <c:idx val="10"/>
              <c:layout>
                <c:manualLayout>
                  <c:x val="0"/>
                  <c:y val="-6.4814814814814908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4.629629629629636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l-PL"/>
              </a:p>
            </c:txPr>
            <c:showVal val="1"/>
          </c:dLbls>
          <c:cat>
            <c:numRef>
              <c:f>Arkusz5!$B$3:$B$16</c:f>
              <c:numCache>
                <c:formatCode>General</c:formatCode>
                <c:ptCount val="14"/>
                <c:pt idx="0">
                  <c:v>2013</c:v>
                </c:pt>
                <c:pt idx="3">
                  <c:v>2014</c:v>
                </c:pt>
                <c:pt idx="6">
                  <c:v>2015</c:v>
                </c:pt>
                <c:pt idx="9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Arkusz5!$D$3:$D$16</c:f>
              <c:numCache>
                <c:formatCode>#,##0.0</c:formatCode>
                <c:ptCount val="14"/>
                <c:pt idx="1">
                  <c:v>257.3</c:v>
                </c:pt>
                <c:pt idx="4">
                  <c:v>675.8</c:v>
                </c:pt>
                <c:pt idx="7">
                  <c:v>669.9</c:v>
                </c:pt>
                <c:pt idx="10">
                  <c:v>151.30000000000001</c:v>
                </c:pt>
                <c:pt idx="13">
                  <c:v>23</c:v>
                </c:pt>
              </c:numCache>
            </c:numRef>
          </c:val>
        </c:ser>
        <c:ser>
          <c:idx val="0"/>
          <c:order val="2"/>
          <c:tx>
            <c:strRef>
              <c:f>Arkusz5!$C$2</c:f>
              <c:strCache>
                <c:ptCount val="1"/>
                <c:pt idx="0">
                  <c:v>Planowane dochody ze sprzedaży mienia (w tys. zł)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5.2439122193059289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5462668816040118E-17"/>
                  <c:y val="-0.2936315252260134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8.3333333333333367E-3"/>
                  <c:y val="-0.13930774278215224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"/>
                  <c:y val="-4.9541411490230412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-1.0185067526416045E-16"/>
                  <c:y val="-0.11221566054243219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l-PL"/>
              </a:p>
            </c:txPr>
            <c:dLblPos val="inEnd"/>
            <c:showVal val="1"/>
          </c:dLbls>
          <c:cat>
            <c:numRef>
              <c:f>Arkusz5!$B$3:$B$16</c:f>
              <c:numCache>
                <c:formatCode>General</c:formatCode>
                <c:ptCount val="14"/>
                <c:pt idx="0">
                  <c:v>2013</c:v>
                </c:pt>
                <c:pt idx="3">
                  <c:v>2014</c:v>
                </c:pt>
                <c:pt idx="6">
                  <c:v>2015</c:v>
                </c:pt>
                <c:pt idx="9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Arkusz5!$C$3:$C$16</c:f>
              <c:numCache>
                <c:formatCode>General</c:formatCode>
                <c:ptCount val="14"/>
                <c:pt idx="0" formatCode="#,##0.0">
                  <c:v>493.3</c:v>
                </c:pt>
                <c:pt idx="3" formatCode="#,##0.0">
                  <c:v>9255.2999999999884</c:v>
                </c:pt>
                <c:pt idx="6" formatCode="#,##0.0">
                  <c:v>3500</c:v>
                </c:pt>
                <c:pt idx="9" formatCode="#,##0.0">
                  <c:v>225</c:v>
                </c:pt>
                <c:pt idx="12" formatCode="#,##0.0">
                  <c:v>2128.9</c:v>
                </c:pt>
              </c:numCache>
            </c:numRef>
          </c:val>
        </c:ser>
        <c:gapWidth val="0"/>
        <c:overlap val="100"/>
        <c:axId val="131349504"/>
        <c:axId val="131666688"/>
      </c:barChart>
      <c:catAx>
        <c:axId val="131349504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pl-PL"/>
          </a:p>
        </c:txPr>
        <c:crossAx val="131666688"/>
        <c:crosses val="autoZero"/>
        <c:auto val="1"/>
        <c:lblAlgn val="ctr"/>
        <c:lblOffset val="100"/>
      </c:catAx>
      <c:valAx>
        <c:axId val="131666688"/>
        <c:scaling>
          <c:orientation val="minMax"/>
        </c:scaling>
        <c:delete val="1"/>
        <c:axPos val="l"/>
        <c:numFmt formatCode="General" sourceLinked="1"/>
        <c:tickLblPos val="none"/>
        <c:crossAx val="131349504"/>
        <c:crosses val="autoZero"/>
        <c:crossBetween val="between"/>
      </c:valAx>
    </c:plotArea>
    <c:legend>
      <c:legendPos val="b"/>
      <c:txPr>
        <a:bodyPr/>
        <a:lstStyle/>
        <a:p>
          <a:pPr>
            <a:defRPr sz="900">
              <a:latin typeface="Arial Narrow" pitchFamily="34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1"/>
          <c:order val="0"/>
          <c:tx>
            <c:strRef>
              <c:f>Arkusz3!$B$2</c:f>
              <c:strCache>
                <c:ptCount val="1"/>
                <c:pt idx="0">
                  <c:v>Wynik wykonania budżetu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0"/>
                  <c:y val="-0.1282009644988148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0.26718905811514027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7.2476277003836173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12808108329019441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>
                    <a:latin typeface="Arial Narrow" pitchFamily="34" charset="0"/>
                    <a:cs typeface="Arial" pitchFamily="34" charset="0"/>
                  </a:defRPr>
                </a:pPr>
                <a:endParaRPr lang="pl-PL"/>
              </a:p>
            </c:txPr>
            <c:dLblPos val="inEnd"/>
            <c:showVal val="1"/>
          </c:dLbls>
          <c:cat>
            <c:numRef>
              <c:f>Arkusz3!$A$3:$A$7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Arkusz3!$B$3:$B$7</c:f>
              <c:numCache>
                <c:formatCode>#,##0.0</c:formatCode>
                <c:ptCount val="5"/>
                <c:pt idx="0">
                  <c:v>-3063.6</c:v>
                </c:pt>
                <c:pt idx="1">
                  <c:v>-7576.7</c:v>
                </c:pt>
                <c:pt idx="2">
                  <c:v>965.1</c:v>
                </c:pt>
                <c:pt idx="3">
                  <c:v>-2909.9</c:v>
                </c:pt>
                <c:pt idx="4">
                  <c:v>-74</c:v>
                </c:pt>
              </c:numCache>
            </c:numRef>
          </c:val>
        </c:ser>
        <c:ser>
          <c:idx val="2"/>
          <c:order val="1"/>
          <c:tx>
            <c:strRef>
              <c:f>Arkusz3!$C$2</c:f>
              <c:strCache>
                <c:ptCount val="1"/>
                <c:pt idx="0">
                  <c:v>Przeliczony wynik wykonania budżetu z pominięciem transakcji sprzedaży nieruchomości Spółce zależnej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2"/>
              <c:layout>
                <c:manualLayout>
                  <c:x val="0"/>
                  <c:y val="-0.11534025374855826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3425925925925936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 Narrow" pitchFamily="34" charset="0"/>
                  </a:defRPr>
                </a:pPr>
                <a:endParaRPr lang="pl-PL"/>
              </a:p>
            </c:txPr>
            <c:showVal val="1"/>
          </c:dLbls>
          <c:cat>
            <c:numRef>
              <c:f>Arkusz3!$A$3:$A$7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Arkusz3!$C$3:$C$7</c:f>
              <c:numCache>
                <c:formatCode>General</c:formatCode>
                <c:ptCount val="5"/>
                <c:pt idx="2" formatCode="#,##0.0">
                  <c:v>-2456</c:v>
                </c:pt>
              </c:numCache>
            </c:numRef>
          </c:val>
        </c:ser>
        <c:gapWidth val="87"/>
        <c:overlap val="100"/>
        <c:axId val="131687936"/>
        <c:axId val="131689472"/>
      </c:barChart>
      <c:catAx>
        <c:axId val="131687936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pl-PL"/>
          </a:p>
        </c:txPr>
        <c:crossAx val="131689472"/>
        <c:crosses val="autoZero"/>
        <c:auto val="1"/>
        <c:lblAlgn val="ctr"/>
        <c:lblOffset val="100"/>
      </c:catAx>
      <c:valAx>
        <c:axId val="13168947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.0" sourceLinked="1"/>
        <c:tickLblPos val="none"/>
        <c:crossAx val="131687936"/>
        <c:crosses val="autoZero"/>
        <c:crossBetween val="between"/>
      </c:valAx>
    </c:plotArea>
    <c:legend>
      <c:legendPos val="b"/>
      <c:txPr>
        <a:bodyPr/>
        <a:lstStyle/>
        <a:p>
          <a:pPr>
            <a:defRPr sz="900">
              <a:latin typeface="Arial Narrow" pitchFamily="34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0.57708</cdr:x>
      <cdr:y>0.40625</cdr:y>
    </cdr:from>
    <cdr:to>
      <cdr:x>0.69167</cdr:x>
      <cdr:y>0.49306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638425" y="1114425"/>
          <a:ext cx="523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900">
              <a:latin typeface="Arial Narrow" pitchFamily="34" charset="0"/>
            </a:rPr>
            <a:t>3 421,1</a:t>
          </a:r>
        </a:p>
      </cdr:txBody>
    </cdr:sp>
  </cdr:relSizeAnchor>
  <cdr:relSizeAnchor xmlns:cdr="http://schemas.openxmlformats.org/drawingml/2006/chartDrawing">
    <cdr:from>
      <cdr:x>0.56875</cdr:x>
      <cdr:y>0.46875</cdr:y>
    </cdr:from>
    <cdr:to>
      <cdr:x>0.66042</cdr:x>
      <cdr:y>0.46875</cdr:y>
    </cdr:to>
    <cdr:cxnSp macro="">
      <cdr:nvCxnSpPr>
        <cdr:cNvPr id="4" name="Łącznik prostoliniowy 3"/>
        <cdr:cNvCxnSpPr/>
      </cdr:nvCxnSpPr>
      <cdr:spPr>
        <a:xfrm xmlns:a="http://schemas.openxmlformats.org/drawingml/2006/main" flipH="1">
          <a:off x="2600326" y="1285875"/>
          <a:ext cx="419099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2018-10-10T10:29:00Z</dcterms:created>
  <dcterms:modified xsi:type="dcterms:W3CDTF">2018-10-10T10:31:00Z</dcterms:modified>
</cp:coreProperties>
</file>